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07/2024 - PRAÇA SINIMBU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III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os passos a serem seguidos para execução do projeto.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estadual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Doações de Empresas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Cobrança de ingressos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/>
      </w:pPr>
      <w:bookmarkStart w:colFirst="0" w:colLast="0" w:name="_heading=h.30j0zll" w:id="0"/>
      <w:bookmarkEnd w:id="0"/>
      <w:r w:rsidDel="00000000" w:rsidR="00000000" w:rsidRPr="00000000">
        <w:rPr>
          <w:color w:val="000000"/>
          <w:sz w:val="24"/>
          <w:szCs w:val="24"/>
          <w:rtl w:val="0"/>
        </w:rPr>
        <w:t xml:space="preserve">(  ) Outros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Fr0XSqRc2rR5T3eQ4oIPxhR/g==">CgMxLjAyCWguMzBqMHpsbDgAciExYjJDaHk3d0hUVGtha1didURtQy0zMDFCOXBic2REdXQ=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2024-12-03T12:18:00Z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